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7"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5609971C">
            <w:pPr>
              <w:spacing w:line="380" w:lineRule="exact"/>
              <w:jc w:val="left"/>
              <w:rPr>
                <w:rFonts w:hint="eastAsia" w:ascii="仿宋" w:hAnsi="仿宋" w:eastAsia="仿宋" w:cs="仿宋"/>
                <w:color w:val="000000"/>
                <w:sz w:val="21"/>
                <w:szCs w:val="15"/>
              </w:rPr>
            </w:pPr>
            <w:r>
              <w:rPr>
                <w:rFonts w:hint="eastAsia" w:ascii="仿宋_GB2312" w:hAnsi="Calibri" w:eastAsia="仿宋_GB2312" w:cs="宋体"/>
                <w:color w:val="000000"/>
                <w:sz w:val="28"/>
              </w:rPr>
              <w:t>开辟新赛道</w:t>
            </w:r>
            <w:r>
              <w:rPr>
                <w:rFonts w:hint="eastAsia" w:ascii="仿宋_GB2312" w:hAnsi="Calibri" w:eastAsia="仿宋_GB2312" w:cs="宋体"/>
                <w:color w:val="000000"/>
                <w:sz w:val="28"/>
                <w:lang w:val="en-US" w:eastAsia="zh-CN"/>
              </w:rPr>
              <w:t xml:space="preserve"> </w:t>
            </w:r>
            <w:r>
              <w:rPr>
                <w:rFonts w:hint="eastAsia" w:ascii="仿宋_GB2312" w:hAnsi="Calibri" w:eastAsia="仿宋_GB2312" w:cs="宋体"/>
                <w:color w:val="000000"/>
                <w:sz w:val="28"/>
              </w:rPr>
              <w:t>培育增长极——大众报业集团组建山东数字文化集团的架构与思考</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648297C0">
            <w:pPr>
              <w:spacing w:line="380" w:lineRule="exact"/>
              <w:jc w:val="left"/>
              <w:rPr>
                <w:rFonts w:hint="default" w:ascii="仿宋" w:hAnsi="仿宋" w:eastAsia="仿宋" w:cs="仿宋"/>
                <w:bCs w:val="0"/>
                <w:color w:val="000000"/>
                <w:sz w:val="21"/>
                <w:szCs w:val="15"/>
                <w:lang w:val="en-US" w:eastAsia="zh-CN"/>
              </w:rPr>
            </w:pPr>
            <w:r>
              <w:rPr>
                <w:rFonts w:hint="eastAsia" w:ascii="仿宋_GB2312" w:hAnsi="Calibri" w:eastAsia="仿宋_GB2312" w:cs="宋体"/>
                <w:color w:val="000000"/>
                <w:sz w:val="28"/>
                <w:lang w:val="en-US" w:eastAsia="zh-CN"/>
              </w:rPr>
              <w:t>新闻研究</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78038E3E">
            <w:pPr>
              <w:spacing w:line="380" w:lineRule="exact"/>
              <w:jc w:val="left"/>
              <w:rPr>
                <w:rFonts w:hint="default" w:ascii="仿宋" w:hAnsi="仿宋" w:eastAsia="仿宋" w:cs="仿宋"/>
                <w:color w:val="000000"/>
                <w:sz w:val="21"/>
                <w:szCs w:val="15"/>
                <w:lang w:val="en-US"/>
              </w:rPr>
            </w:pPr>
            <w:r>
              <w:rPr>
                <w:rFonts w:hint="eastAsia" w:ascii="仿宋_GB2312" w:hAnsi="Calibri" w:eastAsia="仿宋_GB2312" w:cs="宋体"/>
                <w:color w:val="000000"/>
                <w:sz w:val="28"/>
                <w:lang w:val="en-US" w:eastAsia="zh-CN"/>
              </w:rPr>
              <w:t>6918字</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EF9348B">
            <w:pPr>
              <w:spacing w:line="240" w:lineRule="exact"/>
              <w:ind w:firstLine="0" w:firstLineChars="0"/>
              <w:rPr>
                <w:rFonts w:hint="eastAsia" w:ascii="仿宋" w:hAnsi="仿宋" w:eastAsia="仿宋" w:cs="仿宋"/>
                <w:color w:val="000000"/>
                <w:sz w:val="21"/>
                <w:szCs w:val="15"/>
              </w:rPr>
            </w:pP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3AAC3CF0">
            <w:pPr>
              <w:spacing w:line="380" w:lineRule="exact"/>
              <w:jc w:val="left"/>
              <w:rPr>
                <w:rFonts w:hint="eastAsia" w:ascii="仿宋" w:hAnsi="仿宋" w:eastAsia="仿宋" w:cs="仿宋"/>
                <w:color w:val="000000"/>
                <w:sz w:val="21"/>
                <w:szCs w:val="15"/>
                <w:lang w:eastAsia="zh-CN"/>
              </w:rPr>
            </w:pPr>
            <w:r>
              <w:rPr>
                <w:rFonts w:hint="eastAsia" w:ascii="仿宋_GB2312" w:hAnsi="Calibri" w:eastAsia="仿宋_GB2312" w:cs="宋体"/>
                <w:color w:val="000000"/>
                <w:sz w:val="28"/>
                <w:lang w:val="en-US" w:eastAsia="zh-CN"/>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7453BB5E">
            <w:pPr>
              <w:spacing w:line="380" w:lineRule="exact"/>
              <w:jc w:val="left"/>
              <w:rPr>
                <w:rFonts w:hint="eastAsia" w:ascii="华文中宋" w:hAnsi="华文中宋" w:eastAsia="华文中宋"/>
                <w:color w:val="000000"/>
                <w:sz w:val="21"/>
                <w:szCs w:val="21"/>
              </w:rPr>
            </w:pPr>
            <w:r>
              <w:rPr>
                <w:rFonts w:hint="eastAsia" w:ascii="仿宋_GB2312" w:hAnsi="Calibri" w:eastAsia="仿宋_GB2312" w:cs="宋体"/>
                <w:color w:val="000000"/>
                <w:sz w:val="28"/>
                <w:lang w:val="en-US" w:eastAsia="zh-CN"/>
              </w:rPr>
              <w:t>毕司东</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21870789">
            <w:pPr>
              <w:spacing w:line="380" w:lineRule="exact"/>
              <w:jc w:val="left"/>
              <w:rPr>
                <w:rFonts w:hint="default" w:ascii="仿宋" w:hAnsi="仿宋" w:eastAsia="仿宋" w:cs="仿宋"/>
                <w:color w:val="000000"/>
                <w:sz w:val="21"/>
                <w:szCs w:val="15"/>
                <w:lang w:val="en-US"/>
              </w:rPr>
            </w:pPr>
            <w:r>
              <w:rPr>
                <w:rFonts w:hint="eastAsia" w:ascii="仿宋_GB2312" w:hAnsi="Calibri" w:eastAsia="仿宋_GB2312" w:cs="宋体"/>
                <w:color w:val="000000"/>
                <w:sz w:val="28"/>
                <w:lang w:val="en-US" w:eastAsia="zh-CN"/>
              </w:rPr>
              <w:t>左志新、孙航</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4A51632B">
            <w:pPr>
              <w:spacing w:line="380" w:lineRule="exact"/>
              <w:jc w:val="left"/>
              <w:rPr>
                <w:rFonts w:hint="eastAsia" w:ascii="方正仿宋_GB2312" w:hAnsi="仿宋" w:eastAsia="仿宋"/>
                <w:color w:val="000000"/>
                <w:szCs w:val="21"/>
                <w:lang w:eastAsia="zh-CN"/>
              </w:rPr>
            </w:pPr>
            <w:r>
              <w:rPr>
                <w:rFonts w:hint="eastAsia" w:ascii="仿宋_GB2312" w:hAnsi="Calibri" w:eastAsia="仿宋_GB2312" w:cs="宋体"/>
                <w:color w:val="000000"/>
                <w:sz w:val="28"/>
                <w:lang w:val="en-US" w:eastAsia="zh-CN"/>
              </w:rPr>
              <w:t>大众报业集团（大众日报社）</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1B3ABACD">
            <w:pPr>
              <w:spacing w:line="380" w:lineRule="exact"/>
              <w:jc w:val="left"/>
              <w:rPr>
                <w:rFonts w:hint="eastAsia" w:ascii="仿宋" w:hAnsi="仿宋" w:eastAsia="仿宋" w:cs="仿宋"/>
                <w:color w:val="000000"/>
                <w:sz w:val="21"/>
                <w:szCs w:val="15"/>
                <w:highlight w:val="none"/>
                <w:lang w:val="en-US" w:eastAsia="zh-CN"/>
              </w:rPr>
            </w:pPr>
            <w:r>
              <w:rPr>
                <w:rFonts w:hint="eastAsia" w:ascii="仿宋_GB2312" w:hAnsi="Calibri" w:eastAsia="仿宋_GB2312" w:cs="宋体"/>
                <w:color w:val="000000"/>
                <w:sz w:val="28"/>
                <w:lang w:val="en-US" w:eastAsia="zh-CN"/>
              </w:rPr>
              <w:t>《传媒》杂志</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504" w:type="dxa"/>
            <w:gridSpan w:val="2"/>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3"/>
            <w:tcBorders>
              <w:tl2br w:val="nil"/>
              <w:tr2bl w:val="nil"/>
            </w:tcBorders>
            <w:vAlign w:val="center"/>
          </w:tcPr>
          <w:p w14:paraId="06FC5C4D">
            <w:pPr>
              <w:spacing w:line="380" w:lineRule="exact"/>
              <w:jc w:val="left"/>
              <w:rPr>
                <w:rFonts w:hint="eastAsia" w:ascii="方正仿宋_GB2312" w:hAnsi="仿宋" w:eastAsia="方正仿宋_GB2312"/>
                <w:color w:val="000000"/>
                <w:szCs w:val="21"/>
                <w:lang w:val="en-US" w:eastAsia="zh-CN"/>
              </w:rPr>
            </w:pPr>
            <w:r>
              <w:rPr>
                <w:rFonts w:hint="eastAsia" w:ascii="仿宋_GB2312" w:hAnsi="Calibri" w:eastAsia="仿宋_GB2312" w:cs="宋体"/>
                <w:color w:val="000000"/>
                <w:sz w:val="28"/>
                <w:lang w:val="en-US" w:eastAsia="zh-CN"/>
              </w:rPr>
              <w:t>报刊观察（P35-38）</w:t>
            </w: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4"/>
            <w:tcBorders>
              <w:tl2br w:val="nil"/>
              <w:tr2bl w:val="nil"/>
            </w:tcBorders>
            <w:vAlign w:val="center"/>
          </w:tcPr>
          <w:p w14:paraId="7A66C554">
            <w:pPr>
              <w:spacing w:line="380" w:lineRule="exact"/>
              <w:jc w:val="left"/>
              <w:rPr>
                <w:rFonts w:hint="default" w:ascii="方正仿宋_GB2312" w:hAnsi="仿宋" w:eastAsia="仿宋"/>
                <w:color w:val="000000"/>
                <w:szCs w:val="21"/>
                <w:lang w:val="en-US" w:eastAsia="zh-CN"/>
              </w:rPr>
            </w:pPr>
            <w:r>
              <w:rPr>
                <w:rFonts w:hint="eastAsia" w:ascii="仿宋_GB2312" w:hAnsi="Calibri" w:eastAsia="仿宋_GB2312" w:cs="宋体"/>
                <w:color w:val="000000"/>
                <w:sz w:val="28"/>
                <w:lang w:val="en-US" w:eastAsia="zh-CN"/>
              </w:rPr>
              <w:t>2025年20期</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2"/>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5"/>
            <w:tcBorders>
              <w:tl2br w:val="nil"/>
              <w:tr2bl w:val="nil"/>
            </w:tcBorders>
            <w:vAlign w:val="center"/>
          </w:tcPr>
          <w:p w14:paraId="78E7ED31">
            <w:pPr>
              <w:spacing w:line="380" w:lineRule="exact"/>
              <w:jc w:val="left"/>
              <w:rPr>
                <w:rFonts w:hint="eastAsia" w:ascii="华文中宋" w:hAnsi="华文中宋" w:eastAsia="华文中宋"/>
                <w:color w:val="000000"/>
                <w:sz w:val="28"/>
              </w:rPr>
            </w:pPr>
            <w:r>
              <w:rPr>
                <w:rFonts w:hint="eastAsia" w:ascii="仿宋_GB2312" w:hAnsi="Calibri" w:eastAsia="仿宋_GB2312" w:cs="宋体"/>
                <w:color w:val="000000"/>
                <w:sz w:val="28"/>
                <w:lang w:val="en-US" w:eastAsia="zh-CN"/>
              </w:rPr>
              <w:t>https://mp.weixin.qq.com/s/IpHctf_J9UcwG28QyJvC6g</w:t>
            </w:r>
          </w:p>
        </w:tc>
        <w:tc>
          <w:tcPr>
            <w:tcW w:w="1742" w:type="dxa"/>
            <w:gridSpan w:val="2"/>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380" w:lineRule="exact"/>
              <w:jc w:val="left"/>
              <w:rPr>
                <w:rFonts w:hint="eastAsia" w:ascii="华文中宋" w:hAnsi="华文中宋" w:eastAsia="华文中宋"/>
                <w:color w:val="000000"/>
                <w:sz w:val="28"/>
                <w:lang w:val="en-US" w:eastAsia="zh-CN"/>
              </w:rPr>
            </w:pPr>
            <w:r>
              <w:rPr>
                <w:rFonts w:hint="eastAsia" w:ascii="仿宋_GB2312" w:hAnsi="Calibri" w:eastAsia="仿宋_GB2312" w:cs="宋体"/>
                <w:color w:val="000000"/>
                <w:sz w:val="28"/>
                <w:lang w:val="en-US" w:eastAsia="zh-CN"/>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9"/>
            <w:tcBorders>
              <w:tl2br w:val="nil"/>
              <w:tr2bl w:val="nil"/>
            </w:tcBorders>
            <w:vAlign w:val="center"/>
          </w:tcPr>
          <w:p w14:paraId="755233F1">
            <w:pPr>
              <w:spacing w:line="380" w:lineRule="exact"/>
              <w:ind w:firstLine="560" w:firstLineChars="200"/>
              <w:jc w:val="left"/>
              <w:rPr>
                <w:rFonts w:hint="eastAsia" w:ascii="仿宋" w:hAnsi="仿宋" w:eastAsia="仿宋"/>
                <w:color w:val="000000"/>
                <w:w w:val="95"/>
                <w:sz w:val="21"/>
                <w:szCs w:val="21"/>
              </w:rPr>
            </w:pPr>
            <w:r>
              <w:rPr>
                <w:rFonts w:hint="eastAsia" w:ascii="仿宋_GB2312" w:hAnsi="Calibri" w:eastAsia="仿宋_GB2312" w:cs="宋体"/>
                <w:color w:val="000000"/>
                <w:sz w:val="28"/>
                <w:lang w:val="en-US" w:eastAsia="zh-CN"/>
              </w:rPr>
              <w:t>2024年5月，习近平总书记在山东考察时明确提出“大力推进文化数字化”的重要指示要求。数字文化产业与主流媒体的核心功能高度契合，是主流媒体产业转型发展的重要领域。该论文紧扣习近平总书记重要指示要求，以大众报业集团探索实践为基础，聚焦战略破局、发展定位、路径创新、战力聚合四大核心任务，全面阐释了主流媒体深度融入文化数字化国家战略的基础优势和思路打法。文章直面主流媒体产业转型痛点，明确以数字文化产业再造经济基础、重构喉舌功能与产业支撑互促关系的改革逻辑，创新提出“打造龙头企业、开发龙头项目、发挥龙头作用”的核心定位以及“业态创新盯前沿、技术变现是重点、政府项目强底盘、市场开拓求发展”的发展思路，既有前瞻性，也具实操性，对于深化主流媒体系统性变革有很强的启发和借鉴意义。该文在《传媒》杂志发表后，在学界和行业内引发热烈反响，全国数十家党报集团负责同志到大众报业集团调研相关工作，为全国主流媒体破解经营转型瓶颈、推进媒体深度融合提供了可借鉴的“大众方案”。</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2"/>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7"/>
            <w:tcBorders>
              <w:tl2br w:val="nil"/>
              <w:tr2bl w:val="nil"/>
            </w:tcBorders>
            <w:vAlign w:val="center"/>
          </w:tcPr>
          <w:p w14:paraId="10EAC8E2">
            <w:pPr>
              <w:spacing w:line="380" w:lineRule="exact"/>
              <w:jc w:val="left"/>
              <w:rPr>
                <w:rFonts w:hint="eastAsia" w:ascii="仿宋" w:hAnsi="仿宋" w:eastAsia="仿宋"/>
                <w:color w:val="000000"/>
                <w:szCs w:val="21"/>
              </w:rPr>
            </w:pPr>
            <w:r>
              <w:rPr>
                <w:rFonts w:hint="eastAsia" w:ascii="仿宋_GB2312" w:hAnsi="Calibri" w:eastAsia="仿宋_GB2312" w:cs="宋体"/>
                <w:color w:val="000000"/>
                <w:sz w:val="28"/>
                <w:lang w:val="en-US" w:eastAsia="zh-CN"/>
              </w:rPr>
              <w:t>https://mp.weixin.qq.com/s/n1Vip6RLU9cyhdVem_z41Q?scene=1</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spacing w:line="380" w:lineRule="exact"/>
              <w:jc w:val="left"/>
              <w:rPr>
                <w:rFonts w:hint="default" w:ascii="仿宋" w:hAnsi="仿宋" w:eastAsia="仿宋" w:cstheme="minorBidi"/>
                <w:color w:val="000000"/>
                <w:kern w:val="2"/>
                <w:sz w:val="21"/>
                <w:szCs w:val="21"/>
                <w:lang w:val="en-US" w:eastAsia="zh-CN" w:bidi="ar-SA"/>
              </w:rPr>
            </w:pPr>
            <w:r>
              <w:rPr>
                <w:rFonts w:hint="eastAsia" w:ascii="仿宋_GB2312" w:hAnsi="Calibri" w:eastAsia="仿宋_GB2312" w:cs="宋体"/>
                <w:color w:val="000000"/>
                <w:sz w:val="28"/>
                <w:lang w:val="en-US" w:eastAsia="zh-CN"/>
              </w:rPr>
              <w:t>2.7万</w:t>
            </w:r>
          </w:p>
        </w:tc>
        <w:tc>
          <w:tcPr>
            <w:tcW w:w="1005" w:type="dxa"/>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14:paraId="5BE3E5F6">
            <w:pPr>
              <w:spacing w:line="380" w:lineRule="exact"/>
              <w:jc w:val="left"/>
              <w:rPr>
                <w:rFonts w:hint="default" w:ascii="仿宋" w:hAnsi="仿宋" w:eastAsia="仿宋"/>
                <w:color w:val="000000"/>
                <w:sz w:val="21"/>
                <w:szCs w:val="21"/>
                <w:lang w:val="en-US" w:eastAsia="zh-CN"/>
              </w:rPr>
            </w:pPr>
            <w:r>
              <w:rPr>
                <w:rFonts w:hint="eastAsia" w:ascii="仿宋_GB2312" w:hAnsi="Calibri" w:eastAsia="仿宋_GB2312" w:cs="宋体"/>
                <w:color w:val="000000"/>
                <w:sz w:val="28"/>
                <w:lang w:val="en-US" w:eastAsia="zh-CN"/>
              </w:rPr>
              <w:t>815</w:t>
            </w:r>
          </w:p>
        </w:tc>
        <w:tc>
          <w:tcPr>
            <w:tcW w:w="1122" w:type="dxa"/>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380" w:lineRule="exact"/>
              <w:jc w:val="left"/>
              <w:rPr>
                <w:rFonts w:hint="default" w:ascii="仿宋" w:hAnsi="仿宋" w:eastAsia="仿宋"/>
                <w:color w:val="000000"/>
                <w:sz w:val="21"/>
                <w:szCs w:val="21"/>
                <w:lang w:val="en-US" w:eastAsia="zh-CN"/>
              </w:rPr>
            </w:pPr>
            <w:r>
              <w:rPr>
                <w:rFonts w:hint="eastAsia" w:ascii="仿宋_GB2312" w:hAnsi="Calibri" w:eastAsia="仿宋_GB2312" w:cs="宋体"/>
                <w:color w:val="000000"/>
                <w:sz w:val="28"/>
                <w:lang w:val="en-US" w:eastAsia="zh-CN"/>
              </w:rPr>
              <w:t>122万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6"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9"/>
            <w:tcBorders>
              <w:tl2br w:val="nil"/>
              <w:tr2bl w:val="nil"/>
            </w:tcBorders>
            <w:vAlign w:val="center"/>
          </w:tcPr>
          <w:p w14:paraId="360F060F">
            <w:pPr>
              <w:spacing w:line="380" w:lineRule="exact"/>
              <w:ind w:firstLine="560" w:firstLineChars="200"/>
              <w:jc w:val="left"/>
              <w:rPr>
                <w:rFonts w:hint="eastAsia" w:ascii="仿宋_GB2312" w:hAnsi="Calibri" w:eastAsia="仿宋_GB2312" w:cs="宋体"/>
                <w:color w:val="000000"/>
                <w:sz w:val="28"/>
              </w:rPr>
            </w:pPr>
          </w:p>
          <w:p w14:paraId="7367EBF8">
            <w:pPr>
              <w:spacing w:line="380" w:lineRule="exact"/>
              <w:ind w:firstLine="560" w:firstLineChars="200"/>
              <w:jc w:val="left"/>
              <w:rPr>
                <w:rFonts w:hint="eastAsia" w:ascii="仿宋_GB2312" w:hAnsi="Calibri" w:eastAsia="仿宋_GB2312" w:cs="宋体"/>
                <w:color w:val="000000"/>
                <w:sz w:val="28"/>
                <w:lang w:val="en-US" w:eastAsia="zh-CN"/>
              </w:rPr>
            </w:pPr>
            <w:r>
              <w:rPr>
                <w:rFonts w:hint="eastAsia" w:ascii="仿宋_GB2312" w:hAnsi="Calibri" w:eastAsia="仿宋_GB2312" w:cs="宋体"/>
                <w:color w:val="000000"/>
                <w:sz w:val="28"/>
                <w:lang w:val="en-US" w:eastAsia="zh-CN"/>
              </w:rPr>
              <w:t>该论文</w:t>
            </w:r>
            <w:r>
              <w:rPr>
                <w:rFonts w:hint="eastAsia" w:ascii="仿宋_GB2312" w:hAnsi="Calibri" w:eastAsia="仿宋_GB2312" w:cs="宋体"/>
                <w:color w:val="000000"/>
                <w:sz w:val="28"/>
                <w:lang w:val="en-US" w:eastAsia="zh-CN"/>
              </w:rPr>
              <w:t>深入贯彻落实习近平文化思想，围绕国家文化数字化战略，聚焦主流媒体系统性变革重大任务，立足党媒使命和转型需要，深入剖析数字文化产业新业态的实施路径和战略打法，观点鲜明、逻辑严谨、实践性强。尤其是针对主流媒体普遍面临的发展难题和生存挑战，论文以大众报业集团的探索为基础，提出了可复制、可推广的思路方法，</w:t>
            </w:r>
            <w:r>
              <w:rPr>
                <w:rFonts w:hint="eastAsia" w:ascii="仿宋_GB2312" w:hAnsi="Calibri" w:eastAsia="仿宋_GB2312" w:cs="宋体"/>
                <w:color w:val="000000"/>
                <w:sz w:val="28"/>
                <w:lang w:val="en-US" w:eastAsia="zh-CN"/>
              </w:rPr>
              <w:t>对主流媒体加快经营转型，</w:t>
            </w:r>
            <w:bookmarkStart w:id="0" w:name="_GoBack"/>
            <w:bookmarkEnd w:id="0"/>
            <w:r>
              <w:rPr>
                <w:rFonts w:hint="eastAsia" w:ascii="仿宋_GB2312" w:hAnsi="Calibri" w:eastAsia="仿宋_GB2312" w:cs="宋体"/>
                <w:color w:val="000000"/>
                <w:sz w:val="28"/>
                <w:lang w:val="en-US" w:eastAsia="zh-CN"/>
              </w:rPr>
              <w:t>实现社会效益、经济效益有机统一具有重要借鉴和启发意义。</w:t>
            </w:r>
          </w:p>
          <w:p w14:paraId="31875D0E">
            <w:pPr>
              <w:spacing w:line="380" w:lineRule="exact"/>
              <w:ind w:firstLine="560" w:firstLineChars="200"/>
              <w:jc w:val="left"/>
              <w:rPr>
                <w:rFonts w:hint="eastAsia" w:ascii="仿宋_GB2312" w:hAnsi="Calibri" w:eastAsia="仿宋_GB2312" w:cs="宋体"/>
                <w:color w:val="000000"/>
                <w:sz w:val="28"/>
                <w:lang w:val="en-US" w:eastAsia="zh-CN"/>
              </w:rPr>
            </w:pPr>
            <w:r>
              <w:rPr>
                <w:rFonts w:hint="eastAsia" w:ascii="仿宋_GB2312" w:hAnsi="Calibri" w:eastAsia="仿宋_GB2312" w:cs="宋体"/>
                <w:color w:val="000000"/>
                <w:sz w:val="28"/>
                <w:lang w:val="en-US" w:eastAsia="zh-CN"/>
              </w:rPr>
              <w:t xml:space="preserve">         </w:t>
            </w:r>
          </w:p>
          <w:p w14:paraId="3109BF0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30942D31">
      <w:pPr>
        <w:rPr>
          <w:rFonts w:hint="eastAsia"/>
        </w:rPr>
      </w:pPr>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09D4AB-B425-4405-AFCB-382CF8CEA1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5BDF3A7-32FB-4ECF-BBD0-AF21B239F7D1}"/>
  </w:font>
  <w:font w:name="方正仿宋_GB2312">
    <w:panose1 w:val="02000000000000000000"/>
    <w:charset w:val="86"/>
    <w:family w:val="auto"/>
    <w:pitch w:val="default"/>
    <w:sig w:usb0="A00002BF" w:usb1="184F6CFA" w:usb2="00000012" w:usb3="00000000" w:csb0="00040001" w:csb1="00000000"/>
    <w:embedRegular r:id="rId3" w:fontKey="{79E8630C-1AD5-49DD-B538-914D4594EF53}"/>
  </w:font>
  <w:font w:name="方正小标宋简体">
    <w:panose1 w:val="03000509000000000000"/>
    <w:charset w:val="86"/>
    <w:family w:val="script"/>
    <w:pitch w:val="default"/>
    <w:sig w:usb0="00000001" w:usb1="080E0000" w:usb2="00000000" w:usb3="00000000" w:csb0="00040000" w:csb1="00000000"/>
    <w:embedRegular r:id="rId4" w:fontKey="{E313B82B-F5A0-4C20-AAC5-7E1FD60BE08E}"/>
  </w:font>
  <w:font w:name="华文中宋">
    <w:panose1 w:val="02010600040101010101"/>
    <w:charset w:val="86"/>
    <w:family w:val="auto"/>
    <w:pitch w:val="default"/>
    <w:sig w:usb0="00000287" w:usb1="080F0000" w:usb2="00000000" w:usb3="00000000" w:csb0="0004009F" w:csb1="DFD70000"/>
    <w:embedRegular r:id="rId5" w:fontKey="{43067B46-A907-4C4F-91F5-BB8A4A19875A}"/>
  </w:font>
  <w:font w:name="仿宋">
    <w:panose1 w:val="02010609060101010101"/>
    <w:charset w:val="86"/>
    <w:family w:val="auto"/>
    <w:pitch w:val="default"/>
    <w:sig w:usb0="800002BF" w:usb1="38CF7CFA" w:usb2="00000016" w:usb3="00000000" w:csb0="00040001" w:csb1="00000000"/>
    <w:embedRegular r:id="rId6" w:fontKey="{54A750E5-D05E-4D09-8191-207E432BDC5C}"/>
  </w:font>
  <w:font w:name="楷体">
    <w:panose1 w:val="02010609060101010101"/>
    <w:charset w:val="86"/>
    <w:family w:val="modern"/>
    <w:pitch w:val="default"/>
    <w:sig w:usb0="800002BF" w:usb1="38CF7CFA" w:usb2="00000016" w:usb3="00000000" w:csb0="00040001" w:csb1="00000000"/>
    <w:embedRegular r:id="rId7" w:fontKey="{5EACE806-B941-43A0-97DF-B72C9E48634F}"/>
  </w:font>
  <w:font w:name="仿宋_GB2312">
    <w:panose1 w:val="02010609030101010101"/>
    <w:charset w:val="86"/>
    <w:family w:val="modern"/>
    <w:pitch w:val="default"/>
    <w:sig w:usb0="00000001" w:usb1="080E0000" w:usb2="00000000" w:usb3="00000000" w:csb0="00040000" w:csb1="00000000"/>
    <w:embedRegular r:id="rId8" w:fontKey="{D8EA6E9C-A8C2-4875-9CD6-D2E6F9230134}"/>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F5E45"/>
    <w:rsid w:val="0A13403D"/>
    <w:rsid w:val="0ADE4039"/>
    <w:rsid w:val="0B6E5FE8"/>
    <w:rsid w:val="103E4A53"/>
    <w:rsid w:val="1A366198"/>
    <w:rsid w:val="1E6C55D3"/>
    <w:rsid w:val="21C806DA"/>
    <w:rsid w:val="291819B2"/>
    <w:rsid w:val="2E1D6E22"/>
    <w:rsid w:val="3166507F"/>
    <w:rsid w:val="31E77F3D"/>
    <w:rsid w:val="33363900"/>
    <w:rsid w:val="340D56D8"/>
    <w:rsid w:val="345C6FDE"/>
    <w:rsid w:val="34D649C2"/>
    <w:rsid w:val="3DE37306"/>
    <w:rsid w:val="40E71918"/>
    <w:rsid w:val="43DB04AB"/>
    <w:rsid w:val="44AC2A30"/>
    <w:rsid w:val="47C36A0E"/>
    <w:rsid w:val="48387E14"/>
    <w:rsid w:val="4CA94913"/>
    <w:rsid w:val="5B953DC6"/>
    <w:rsid w:val="5D250E1A"/>
    <w:rsid w:val="5EBE02DB"/>
    <w:rsid w:val="5F100814"/>
    <w:rsid w:val="6DF0544B"/>
    <w:rsid w:val="70CD2B43"/>
    <w:rsid w:val="71381995"/>
    <w:rsid w:val="73F26870"/>
    <w:rsid w:val="75181898"/>
    <w:rsid w:val="758F6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5c1db5a6-0900-4249-86f8-a5068d77f288}">
  <ds:schemaRefs/>
</ds:datastoreItem>
</file>

<file path=docProps/app.xml><?xml version="1.0" encoding="utf-8"?>
<Properties xmlns="http://schemas.openxmlformats.org/officeDocument/2006/extended-properties" xmlns:vt="http://schemas.openxmlformats.org/officeDocument/2006/docPropsVTypes">
  <Template>Normal.dotm</Template>
  <Pages>2</Pages>
  <Words>837</Words>
  <Characters>857</Characters>
  <Lines>0</Lines>
  <Paragraphs>0</Paragraphs>
  <TotalTime>40</TotalTime>
  <ScaleCrop>false</ScaleCrop>
  <LinksUpToDate>false</LinksUpToDate>
  <CharactersWithSpaces>988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老特拉福德</cp:lastModifiedBy>
  <cp:lastPrinted>2026-05-14T05:54:20Z</cp:lastPrinted>
  <dcterms:modified xsi:type="dcterms:W3CDTF">2026-05-14T06:17:08Z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eyJoZGlkIjoiNjNmMzNkZmFhOWVhNTY1YTNkY2EzNTRjYTEwNGNiZTQiLCJ1c2VySWQiOiI0NDY3NTUxODMifQ==</vt:lpwstr>
  </property>
  <property fmtid="{D5CDD505-2E9C-101B-9397-08002B2CF9AE}" pid="4" name="ICV">
    <vt:lpwstr>0E3E72708559435089AFFECF6529B941_13</vt:lpwstr>
  </property>
</Properties>
</file>